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22B" w:rsidRPr="0068422B" w:rsidRDefault="0068422B" w:rsidP="0068422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8422B">
        <w:rPr>
          <w:rFonts w:ascii="Arial" w:hAnsi="Arial" w:cs="Arial"/>
          <w:b/>
          <w:bCs/>
          <w:sz w:val="32"/>
          <w:szCs w:val="32"/>
          <w:u w:val="single"/>
        </w:rPr>
        <w:t>BOLETÍN OFICIAL DE LA PROVINCIA DE BUENOS AIRES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</w:p>
    <w:p w:rsidR="0068422B" w:rsidRPr="0068422B" w:rsidRDefault="0068422B" w:rsidP="0068422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8422B">
        <w:rPr>
          <w:rFonts w:ascii="Arial" w:hAnsi="Arial" w:cs="Arial"/>
          <w:b/>
          <w:bCs/>
          <w:sz w:val="28"/>
          <w:szCs w:val="28"/>
        </w:rPr>
        <w:t>AGENCIA DE RECAUDACIÓN</w:t>
      </w:r>
    </w:p>
    <w:p w:rsidR="0068422B" w:rsidRPr="0068422B" w:rsidRDefault="0068422B" w:rsidP="0068422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8422B">
        <w:rPr>
          <w:rFonts w:ascii="Arial" w:hAnsi="Arial" w:cs="Arial"/>
          <w:b/>
          <w:bCs/>
          <w:sz w:val="28"/>
          <w:szCs w:val="28"/>
        </w:rPr>
        <w:t>RESOLUCIÓN NORMATIVA N° 1/2021</w:t>
      </w:r>
    </w:p>
    <w:p w:rsidR="0068422B" w:rsidRPr="0068422B" w:rsidRDefault="0068422B" w:rsidP="00080EFC">
      <w:pPr>
        <w:jc w:val="both"/>
        <w:rPr>
          <w:rFonts w:ascii="Arial" w:hAnsi="Arial" w:cs="Arial"/>
          <w:sz w:val="24"/>
          <w:szCs w:val="24"/>
        </w:rPr>
      </w:pPr>
      <w:r w:rsidRPr="00080EFC">
        <w:rPr>
          <w:rFonts w:ascii="Arial" w:hAnsi="Arial" w:cs="Arial"/>
          <w:b/>
          <w:bCs/>
          <w:sz w:val="24"/>
          <w:szCs w:val="24"/>
        </w:rPr>
        <w:t>Resumen:</w:t>
      </w:r>
      <w:r w:rsidR="00F96BF5">
        <w:rPr>
          <w:rFonts w:ascii="Arial" w:hAnsi="Arial" w:cs="Arial"/>
          <w:sz w:val="24"/>
          <w:szCs w:val="24"/>
        </w:rPr>
        <w:t xml:space="preserve"> Se reglamenta la</w:t>
      </w:r>
      <w:r w:rsidR="00F96BF5" w:rsidRPr="00F96BF5">
        <w:rPr>
          <w:rFonts w:ascii="Arial" w:hAnsi="Arial" w:cs="Arial"/>
          <w:sz w:val="24"/>
          <w:szCs w:val="24"/>
        </w:rPr>
        <w:t xml:space="preserve"> exención impositiva del pago del Impuesto sobre los Ingresos Brutos</w:t>
      </w:r>
      <w:r w:rsidR="00080EFC">
        <w:rPr>
          <w:rFonts w:ascii="Arial" w:hAnsi="Arial" w:cs="Arial"/>
          <w:sz w:val="24"/>
          <w:szCs w:val="24"/>
        </w:rPr>
        <w:t xml:space="preserve"> establecida por </w:t>
      </w:r>
      <w:r w:rsidR="00080EFC" w:rsidRPr="00F96BF5">
        <w:rPr>
          <w:rFonts w:ascii="Arial" w:hAnsi="Arial" w:cs="Arial"/>
          <w:sz w:val="24"/>
          <w:szCs w:val="24"/>
        </w:rPr>
        <w:t>el Decreto N° 1252/2020</w:t>
      </w:r>
      <w:r w:rsidR="00080EFC">
        <w:rPr>
          <w:rFonts w:ascii="Arial" w:hAnsi="Arial" w:cs="Arial"/>
          <w:sz w:val="24"/>
          <w:szCs w:val="24"/>
        </w:rPr>
        <w:t>.</w:t>
      </w:r>
      <w:r w:rsidR="00080EFC" w:rsidRPr="00080EFC">
        <w:t xml:space="preserve"> </w:t>
      </w:r>
      <w:r w:rsidR="00080EFC">
        <w:rPr>
          <w:rFonts w:ascii="Arial" w:hAnsi="Arial" w:cs="Arial"/>
          <w:sz w:val="24"/>
          <w:szCs w:val="24"/>
        </w:rPr>
        <w:t>Se</w:t>
      </w:r>
      <w:r w:rsidR="00080EFC" w:rsidRPr="00080EFC">
        <w:rPr>
          <w:rFonts w:ascii="Arial" w:hAnsi="Arial" w:cs="Arial"/>
          <w:sz w:val="24"/>
          <w:szCs w:val="24"/>
        </w:rPr>
        <w:t xml:space="preserve"> dispone</w:t>
      </w:r>
      <w:r w:rsidR="00392B7D">
        <w:rPr>
          <w:rFonts w:ascii="Arial" w:hAnsi="Arial" w:cs="Arial"/>
          <w:sz w:val="24"/>
          <w:szCs w:val="24"/>
        </w:rPr>
        <w:t xml:space="preserve"> uqe</w:t>
      </w:r>
      <w:bookmarkStart w:id="0" w:name="_GoBack"/>
      <w:bookmarkEnd w:id="0"/>
      <w:r w:rsidR="00080EFC" w:rsidRPr="00080EFC">
        <w:rPr>
          <w:rFonts w:ascii="Arial" w:hAnsi="Arial" w:cs="Arial"/>
          <w:sz w:val="24"/>
          <w:szCs w:val="24"/>
        </w:rPr>
        <w:t xml:space="preserve"> los contribuyentes interesados </w:t>
      </w:r>
      <w:r w:rsidR="00080EFC">
        <w:rPr>
          <w:rFonts w:ascii="Arial" w:hAnsi="Arial" w:cs="Arial"/>
          <w:sz w:val="24"/>
          <w:szCs w:val="24"/>
        </w:rPr>
        <w:t xml:space="preserve">podrán </w:t>
      </w:r>
      <w:r w:rsidR="00080EFC" w:rsidRPr="00080EFC">
        <w:rPr>
          <w:rFonts w:ascii="Arial" w:hAnsi="Arial" w:cs="Arial"/>
          <w:sz w:val="24"/>
          <w:szCs w:val="24"/>
        </w:rPr>
        <w:t>efectivi</w:t>
      </w:r>
      <w:r w:rsidR="00080EFC">
        <w:rPr>
          <w:rFonts w:ascii="Arial" w:hAnsi="Arial" w:cs="Arial"/>
          <w:sz w:val="24"/>
          <w:szCs w:val="24"/>
        </w:rPr>
        <w:t>zar</w:t>
      </w:r>
      <w:r w:rsidR="00080EFC" w:rsidRPr="00080EFC">
        <w:rPr>
          <w:rFonts w:ascii="Arial" w:hAnsi="Arial" w:cs="Arial"/>
          <w:sz w:val="24"/>
          <w:szCs w:val="24"/>
        </w:rPr>
        <w:t xml:space="preserve"> </w:t>
      </w:r>
      <w:r w:rsidR="00080EFC">
        <w:rPr>
          <w:rFonts w:ascii="Arial" w:hAnsi="Arial" w:cs="Arial"/>
          <w:sz w:val="24"/>
          <w:szCs w:val="24"/>
        </w:rPr>
        <w:t xml:space="preserve">el beneficio </w:t>
      </w:r>
      <w:r w:rsidR="00080EFC" w:rsidRPr="00080EFC">
        <w:rPr>
          <w:rFonts w:ascii="Arial" w:hAnsi="Arial" w:cs="Arial"/>
          <w:sz w:val="24"/>
          <w:szCs w:val="24"/>
        </w:rPr>
        <w:t>presenta</w:t>
      </w:r>
      <w:r w:rsidR="00B27FD2">
        <w:rPr>
          <w:rFonts w:ascii="Arial" w:hAnsi="Arial" w:cs="Arial"/>
          <w:sz w:val="24"/>
          <w:szCs w:val="24"/>
        </w:rPr>
        <w:t>ndo</w:t>
      </w:r>
      <w:r w:rsidR="00080EFC" w:rsidRPr="00080EFC">
        <w:rPr>
          <w:rFonts w:ascii="Arial" w:hAnsi="Arial" w:cs="Arial"/>
          <w:sz w:val="24"/>
          <w:szCs w:val="24"/>
        </w:rPr>
        <w:t xml:space="preserve"> las declaraciones juradas originales o rectificativas de los</w:t>
      </w:r>
      <w:r w:rsidR="00080EFC">
        <w:rPr>
          <w:rFonts w:ascii="Arial" w:hAnsi="Arial" w:cs="Arial"/>
          <w:sz w:val="24"/>
          <w:szCs w:val="24"/>
        </w:rPr>
        <w:t xml:space="preserve"> </w:t>
      </w:r>
      <w:r w:rsidR="00080EFC" w:rsidRPr="00080EFC">
        <w:rPr>
          <w:rFonts w:ascii="Arial" w:hAnsi="Arial" w:cs="Arial"/>
          <w:sz w:val="24"/>
          <w:szCs w:val="24"/>
        </w:rPr>
        <w:t>anticipos del impuesto alcanzados por el beneficio, exponiendo claramente la base imponible exenta del tributo, sin</w:t>
      </w:r>
      <w:r w:rsidR="00080EFC">
        <w:rPr>
          <w:rFonts w:ascii="Arial" w:hAnsi="Arial" w:cs="Arial"/>
          <w:sz w:val="24"/>
          <w:szCs w:val="24"/>
        </w:rPr>
        <w:t xml:space="preserve"> </w:t>
      </w:r>
      <w:r w:rsidR="00080EFC" w:rsidRPr="00080EFC">
        <w:rPr>
          <w:rFonts w:ascii="Arial" w:hAnsi="Arial" w:cs="Arial"/>
          <w:sz w:val="24"/>
          <w:szCs w:val="24"/>
        </w:rPr>
        <w:t xml:space="preserve">necesidad de realizar trámites adicionales para acceder </w:t>
      </w:r>
      <w:r w:rsidR="000E5708">
        <w:rPr>
          <w:rFonts w:ascii="Arial" w:hAnsi="Arial" w:cs="Arial"/>
          <w:sz w:val="24"/>
          <w:szCs w:val="24"/>
        </w:rPr>
        <w:t>al mismo</w:t>
      </w:r>
      <w:r w:rsidR="00080EFC">
        <w:rPr>
          <w:rFonts w:ascii="Arial" w:hAnsi="Arial" w:cs="Arial"/>
          <w:sz w:val="24"/>
          <w:szCs w:val="24"/>
        </w:rPr>
        <w:t>.</w:t>
      </w:r>
    </w:p>
    <w:p w:rsid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</w:p>
    <w:p w:rsidR="0068422B" w:rsidRPr="0068422B" w:rsidRDefault="0068422B" w:rsidP="006842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22B">
        <w:rPr>
          <w:rFonts w:ascii="Arial" w:hAnsi="Arial" w:cs="Arial"/>
          <w:b/>
          <w:bCs/>
          <w:sz w:val="24"/>
          <w:szCs w:val="24"/>
        </w:rPr>
        <w:t>El DIRECTOR EJECUTIVO DE LA AGENCIA DE RECAUDACIÓN</w:t>
      </w:r>
    </w:p>
    <w:p w:rsidR="0068422B" w:rsidRPr="0068422B" w:rsidRDefault="0068422B" w:rsidP="006842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22B">
        <w:rPr>
          <w:rFonts w:ascii="Arial" w:hAnsi="Arial" w:cs="Arial"/>
          <w:b/>
          <w:bCs/>
          <w:sz w:val="24"/>
          <w:szCs w:val="24"/>
        </w:rPr>
        <w:t>DE LA PROVINCIA DE BUENOS AIRES</w:t>
      </w:r>
    </w:p>
    <w:p w:rsidR="0068422B" w:rsidRPr="0068422B" w:rsidRDefault="0068422B" w:rsidP="006842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22B">
        <w:rPr>
          <w:rFonts w:ascii="Arial" w:hAnsi="Arial" w:cs="Arial"/>
          <w:b/>
          <w:bCs/>
          <w:sz w:val="24"/>
          <w:szCs w:val="24"/>
        </w:rPr>
        <w:t>RESUELVE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ARTÍCULO 1°. Las exenciones en el Impuesto sobre los Ingresos Brutos dispuestas por el artículo 3° del Decreto N°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1252/2020 alcanzarán a los contribuyentes del tributo que realicen las actividades encuadradas en los códigos del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Nomenclador de Actividades del Impuesto sobre los Ingresos Brutos (NAIIB 18) aprobado por Resolución Normativa N°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38/2017 de la Agencia de Recaudación de la Provincia de Buenos Aires y sus modificatorias, incluidos en el Anexo Único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(IF-2020-20031471-GDEBA-SSTAYLMPCEITGP) que integra el mencionado Decreto y, en el caso de contribuyentes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comprendidos por el régimen del Convenio Multilateral, en los códigos equivalentes del “Nomenclador de actividades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económicas del Sistema Federal de Recaudación” (NAES), aprobado por la Resolución General N° 7/2017 y modificatoria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de la Comisión Arbitral de dicho Convenio, actualmente incorporado en la Resolución General N° 22/2020 de la misma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Comisión, como Apéndice XIII.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ARTÍCULO 2°. Los sujetos mencionados en el artículo anterior deberán cumplir los siguientes requisitos: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a) Estar inscriptos en el “Programa Buenos Aires ActiBA”, según Resolución N° 7/2020 del Ministerio de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Producción, Ciencia e Innovación Tecnológica de la Provincia de Buenos Aires o en el “Agro Registro MiPyMES”,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según Resolución N° 7/2020 del Ministerio de Desarrollo Agrario de la Provincia de Buenos Aires, según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corresponda;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b) Tener presentadas las declaraciones juradas del Impuesto sobre los Ingresos Brutos de los anticipos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correspondientes a los meses de abril y mayo de los años 2019 y 2020, de corresponder;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lastRenderedPageBreak/>
        <w:t>c) Que el incremento de la base imponible declarada en los anticipos de los meses de abril y mayo del año 2020,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resultante de la acumulación de ambos, no supere el cinco por ciento (5%) respecto del mismo período acumulado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del año 2019, conforme las declaraciones juradas del inciso anterior;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d) En el caso de contribuyentes que hayan iniciado actividades con posterioridad al mes de abril de 2019, tener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presentadas las declaraciones juradas del Impuesto sobre los Ingresos Brutos de los anticipos correspondientes a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los meses de marzo y abril del año 2020 y resultar la base imponible total declarada en este último, inferior a la del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mes anterior. En este caso no será requisito la condición descripta en el inciso anterior; y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e) Que la suma de la base imponible declarada para la Provincia de Buenos Aires en las actividades comprendidas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en el Anexo Único (IF-2020-20031471-GDEBA-SSTAYLMPCEITGP) del Decreto Nº 1252/2020 represente al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menos el veinticinco por ciento (25%) de la base imponible correspondiente a la totalidad de las actividades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desarrolladas en la Provincia de Buenos Aires, declaradas en los anticipos correspondientes a los meses de marzo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y abril del año 2020.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Las inscripciones previstas en el inciso a) del presente artículo, podrán ser efectuadas hasta el 31 de mayo de 2021,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inclusive.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ARTÍCULO 3º. Conforme lo previsto en el artículo 3º del Decreto Nº 1252/2020, las exenciones que por la presente se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reglamentan alcanzarán a las obligaciones del Impuesto sobre los Ingresos Brutos devengadas entre el 1º de julio de 2020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y el 31 de diciembre de 2020, ambas fechas inclusive, y corresponderán exclusivamente a los ingresos obtenidos por el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desarrollo de las actividades comprendidas en los códigos NAIIB indicados en el Anexo Único (IF-2020-20031471-GDEBASSTAYLMPCEITGP) del citado Decreto o sus equivalentes del NAES, en el caso de contribuyentes alcanzados por el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régimen del Convenio Multilateral.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ARTÍCULO 4º. Los beneficios reglamentados en la presente Resolución serán del quince por ciento (15%) del importe del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Impuesto sobre los Ingresos Brutos que corresponda de acuerdo a lo previsto en el artículo anterior.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Tratándose de contribuyentes considerados Micro, Pequeñas o Medianas Empresas conforme lo dispuesto por el artículo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3º del Decreto Nº 1252/2020, la exención será del cincuenta por ciento (50%) del importe mencionado.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ARTICULO 5º. Los contribuyentes deberán hacer efectivo el beneficio en oportunidad de presentar sus declaraciones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juradas correspondientes a los anticipos del Impuesto sobre los Ingresos Brutos alcanzados por la dispensa, mediante las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aplicaciones vigentes a tales efectos, exponiendo claramente la base imponible exenta del tributo, por actividad.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ARTÍCULO 6°. En los casos en que ya se hubieran presentado las declaraciones juradas de los anticipos del impuesto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 xml:space="preserve">alcanzados por el beneficio, el interesado </w:t>
      </w:r>
      <w:r w:rsidRPr="0068422B">
        <w:rPr>
          <w:rFonts w:ascii="Arial" w:hAnsi="Arial" w:cs="Arial"/>
          <w:sz w:val="24"/>
          <w:szCs w:val="24"/>
        </w:rPr>
        <w:lastRenderedPageBreak/>
        <w:t>deberá rectificar las mismas, exponiendo a través de estas últimas el beneficio,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en la forma dispuesta en el artículo anterior.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Cuando en virtud de las declaraciones juradas rectificativas del impuesto surgieran saldos a favor del contribuyente, podrá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observarse lo previsto en el segundo párrafo del artículo 103 del Código Fiscal -Ley Nº 10397 (T.O. 2011) y modificatorias-,</w:t>
      </w:r>
      <w:r w:rsidR="000C61C5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sin perjuicio de la posibilidad del contribuyente de solicitar su devolución o compensación, de conformidad con lo previsto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en el citado Código y su reglamentación.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ARTÍCULO 7°. Las exenciones previstas en el Decreto Nº 1252/2020, reglamentado por la presente Resolución, no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resultan excluyentes de otros beneficios de similares características que puedan corresponder a los contribuyentes, los que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se aplicarán de manera acumulativa.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ARTÍCULO 8º. La Agencia de Recaudación de la Provincia de Buenos Aires podrá ejercer, en cualquier momento, sus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facultades de fiscalización y verificación, a fin de controlar el correcto cumplimiento de las obligaciones fiscales devengadas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en cabeza del contribuyente. A tales efectos podrá considerar, asimismo, la información que le sea suministrada por los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Ministerios de Producción, Ciencia e Innovación Tecnológica y de Desarrollo Agrario, según corresponda, de conformidad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con lo previsto en el artículo 5º del Decreto Nº 1252/2020.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Cuando se verifique que el contribuyente que hubiera efectivizado las referidas exenciones a través de sus declaraciones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juradas no reunía las condiciones requeridas para su procedencia, se realizarán las acciones necesarias a los fines de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reclamar los importes del tributo que resulten adeudados, con los respectivos accesorios y multas que pudieran</w:t>
      </w:r>
      <w:r w:rsidRPr="0068422B">
        <w:rPr>
          <w:rFonts w:ascii="Arial" w:hAnsi="Arial" w:cs="Arial"/>
          <w:sz w:val="24"/>
          <w:szCs w:val="24"/>
        </w:rPr>
        <w:t xml:space="preserve"> </w:t>
      </w:r>
      <w:r w:rsidRPr="0068422B">
        <w:rPr>
          <w:rFonts w:ascii="Arial" w:hAnsi="Arial" w:cs="Arial"/>
          <w:sz w:val="24"/>
          <w:szCs w:val="24"/>
        </w:rPr>
        <w:t>corresponder.</w:t>
      </w:r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sz w:val="24"/>
          <w:szCs w:val="24"/>
        </w:rPr>
        <w:t>ARTÍCULO 9º. Registrar, comunicar, publicar, dar al Boletín Oficial y al SINDMA. Cumplido, archivar.</w:t>
      </w:r>
    </w:p>
    <w:p w:rsid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  <w:r w:rsidRPr="0068422B">
        <w:rPr>
          <w:rFonts w:ascii="Arial" w:hAnsi="Arial" w:cs="Arial"/>
          <w:b/>
          <w:bCs/>
          <w:sz w:val="24"/>
          <w:szCs w:val="24"/>
        </w:rPr>
        <w:t>Cristian Alexis Girard</w:t>
      </w:r>
      <w:r w:rsidRPr="0068422B">
        <w:rPr>
          <w:rFonts w:ascii="Arial" w:hAnsi="Arial" w:cs="Arial"/>
          <w:sz w:val="24"/>
          <w:szCs w:val="24"/>
        </w:rPr>
        <w:t>, Director Ejecutivo</w:t>
      </w:r>
      <w:r w:rsidRPr="0068422B">
        <w:rPr>
          <w:rFonts w:ascii="Arial" w:hAnsi="Arial" w:cs="Arial"/>
          <w:sz w:val="24"/>
          <w:szCs w:val="24"/>
        </w:rPr>
        <w:cr/>
      </w:r>
    </w:p>
    <w:p w:rsid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</w:p>
    <w:p w:rsidR="0068422B" w:rsidRDefault="0068422B" w:rsidP="0068422B">
      <w:pPr>
        <w:jc w:val="both"/>
        <w:rPr>
          <w:rFonts w:ascii="Arial" w:hAnsi="Arial" w:cs="Arial"/>
          <w:sz w:val="24"/>
          <w:szCs w:val="24"/>
        </w:rPr>
      </w:pPr>
    </w:p>
    <w:p w:rsidR="0068422B" w:rsidRDefault="0068422B" w:rsidP="0068422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8422B">
        <w:rPr>
          <w:rFonts w:ascii="Arial" w:hAnsi="Arial" w:cs="Arial"/>
          <w:sz w:val="24"/>
          <w:szCs w:val="24"/>
          <w:lang w:val="en-US"/>
        </w:rPr>
        <w:t xml:space="preserve">Enlace: </w:t>
      </w:r>
      <w:hyperlink r:id="rId4" w:history="1">
        <w:r w:rsidRPr="009B5A6F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https://www.boletinoficial.gba.gob.ar/secciones/10758/ver</w:t>
        </w:r>
      </w:hyperlink>
    </w:p>
    <w:p w:rsidR="0068422B" w:rsidRPr="0068422B" w:rsidRDefault="0068422B" w:rsidP="0068422B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68422B" w:rsidRPr="00684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2B"/>
    <w:rsid w:val="00080EFC"/>
    <w:rsid w:val="000C61C5"/>
    <w:rsid w:val="000E5708"/>
    <w:rsid w:val="00392B7D"/>
    <w:rsid w:val="0068422B"/>
    <w:rsid w:val="00B27FD2"/>
    <w:rsid w:val="00F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E6810"/>
  <w15:chartTrackingRefBased/>
  <w15:docId w15:val="{80A00275-7855-44BF-A969-8A9D98F4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42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4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letinoficial.gba.gob.ar/secciones/10758/v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KAREN SOFIA</dc:creator>
  <cp:keywords/>
  <dc:description/>
  <cp:lastModifiedBy>GONZALEZ KAREN SOFIA</cp:lastModifiedBy>
  <cp:revision>7</cp:revision>
  <dcterms:created xsi:type="dcterms:W3CDTF">2021-01-19T11:00:00Z</dcterms:created>
  <dcterms:modified xsi:type="dcterms:W3CDTF">2021-01-19T11:26:00Z</dcterms:modified>
</cp:coreProperties>
</file>